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035"/>
        </w:trPr>
        <w:tc>
          <w:tcPr>
            <w:tcW w:w="9722" w:type="dxa"/>
            <w:shd w:val="clear" w:color="auto" w:fill="A7BEDE"/>
          </w:tcPr>
          <w:p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:rsidR="00AD31D6" w:rsidRDefault="00AD31D6">
      <w:pPr>
        <w:spacing w:before="11"/>
        <w:rPr>
          <w:b/>
          <w:sz w:val="50"/>
        </w:rPr>
      </w:pPr>
    </w:p>
    <w:p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2291"/>
        </w:trPr>
        <w:tc>
          <w:tcPr>
            <w:tcW w:w="9722" w:type="dxa"/>
            <w:shd w:val="clear" w:color="auto" w:fill="A7BEDE"/>
          </w:tcPr>
          <w:p w:rsidR="00AD31D6" w:rsidRDefault="000E0F50" w:rsidP="00432101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</w:t>
            </w:r>
            <w:r w:rsidR="00432101">
              <w:rPr>
                <w:color w:val="221F1F"/>
                <w:sz w:val="28"/>
              </w:rPr>
              <w:t>they take</w:t>
            </w:r>
            <w:r>
              <w:rPr>
                <w:color w:val="221F1F"/>
                <w:sz w:val="28"/>
              </w:rPr>
              <w:t xml:space="preserve"> full advantage of the learning opportunities provided. It should be cross-referenced with the programme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750"/>
        <w:gridCol w:w="4971"/>
      </w:tblGrid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C27F44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</w:t>
            </w:r>
            <w:r>
              <w:rPr>
                <w:sz w:val="28"/>
              </w:rPr>
              <w:t>-</w:t>
            </w:r>
            <w:r w:rsidRPr="003E0DCB">
              <w:rPr>
                <w:sz w:val="28"/>
              </w:rPr>
              <w:t>Nahrain University</w:t>
            </w:r>
          </w:p>
        </w:tc>
      </w:tr>
      <w:tr w:rsidR="00AD31D6">
        <w:trPr>
          <w:trHeight w:val="62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:rsidR="00AD31D6" w:rsidRDefault="009E2CB7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C27F44" w:rsidRDefault="00C27F44" w:rsidP="00C27F44">
            <w:pPr>
              <w:adjustRightInd w:val="0"/>
            </w:pPr>
            <w:r>
              <w:t>CHEM 311</w:t>
            </w:r>
            <w:r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>
              <w:t>first</w:t>
            </w:r>
          </w:p>
          <w:p w:rsidR="00AD31D6" w:rsidRPr="00432101" w:rsidRDefault="00432101" w:rsidP="00432101">
            <w:pPr>
              <w:adjustRightInd w:val="0"/>
            </w:pPr>
            <w:r>
              <w:t>CHEM 312</w:t>
            </w:r>
            <w:r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>
              <w:t>second</w:t>
            </w:r>
          </w:p>
        </w:tc>
      </w:tr>
      <w:tr w:rsidR="00C27F44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C27F44" w:rsidRDefault="00C27F44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C27F44" w:rsidRDefault="00C27F44" w:rsidP="00C27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Attendances</w:t>
            </w:r>
          </w:p>
        </w:tc>
      </w:tr>
      <w:tr w:rsidR="00C27F44">
        <w:trPr>
          <w:trHeight w:val="488"/>
        </w:trPr>
        <w:tc>
          <w:tcPr>
            <w:tcW w:w="4750" w:type="dxa"/>
            <w:shd w:val="clear" w:color="auto" w:fill="D2DFED"/>
          </w:tcPr>
          <w:p w:rsidR="00C27F44" w:rsidRDefault="00C27F44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:rsidR="00C27F44" w:rsidRDefault="00C27F44" w:rsidP="00C27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First/2022-2023</w:t>
            </w:r>
          </w:p>
          <w:p w:rsidR="00C27F44" w:rsidRDefault="00C27F44" w:rsidP="00C27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Second/2022-2023</w:t>
            </w:r>
          </w:p>
        </w:tc>
      </w:tr>
      <w:tr w:rsidR="00C27F44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C27F44" w:rsidRDefault="00C27F44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C27F44" w:rsidRDefault="00C27F44" w:rsidP="00C27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hours</w:t>
            </w:r>
            <w:r w:rsidR="009E2CB7">
              <w:rPr>
                <w:sz w:val="28"/>
              </w:rPr>
              <w:t xml:space="preserve"> for each semester</w:t>
            </w:r>
          </w:p>
          <w:p w:rsidR="00C27F44" w:rsidRDefault="00C27F44" w:rsidP="00560381">
            <w:pPr>
              <w:pStyle w:val="TableParagraph"/>
              <w:rPr>
                <w:sz w:val="28"/>
              </w:rPr>
            </w:pPr>
          </w:p>
        </w:tc>
      </w:tr>
      <w:tr w:rsidR="00C27F44">
        <w:trPr>
          <w:trHeight w:val="643"/>
        </w:trPr>
        <w:tc>
          <w:tcPr>
            <w:tcW w:w="4750" w:type="dxa"/>
            <w:shd w:val="clear" w:color="auto" w:fill="D2DFED"/>
          </w:tcPr>
          <w:p w:rsidR="00C27F44" w:rsidRDefault="00C27F44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:rsidR="00C27F44" w:rsidRDefault="00C27F44" w:rsidP="005603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</w:t>
            </w:r>
            <w:r w:rsidR="009E2CB7">
              <w:rPr>
                <w:sz w:val="28"/>
              </w:rPr>
              <w:t>/second</w:t>
            </w:r>
          </w:p>
          <w:p w:rsidR="00C27F44" w:rsidRDefault="00C27F44" w:rsidP="00C27F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</w:tr>
      <w:tr w:rsidR="00AD31D6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9E2CB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9E2CB7" w:rsidRDefault="009E2CB7" w:rsidP="00432101">
            <w:pPr>
              <w:pStyle w:val="TableParagraph"/>
              <w:tabs>
                <w:tab w:val="left" w:pos="7076"/>
              </w:tabs>
              <w:bidi/>
              <w:jc w:val="right"/>
              <w:rPr>
                <w:rFonts w:hint="cs"/>
                <w:sz w:val="20"/>
                <w:rtl/>
                <w:lang w:bidi="ar-IQ"/>
              </w:rPr>
            </w:pPr>
            <w:r>
              <w:rPr>
                <w:sz w:val="20"/>
                <w:rtl/>
                <w:lang w:bidi="ar-IQ"/>
              </w:rPr>
              <w:tab/>
            </w:r>
            <w:r>
              <w:rPr>
                <w:sz w:val="20"/>
                <w:lang w:bidi="ar-IQ"/>
              </w:rPr>
              <w:t>1-</w:t>
            </w:r>
            <w:r w:rsidRPr="003A36A7">
              <w:rPr>
                <w:sz w:val="20"/>
                <w:lang w:bidi="ar-IQ"/>
              </w:rPr>
              <w:t xml:space="preserve">Identification of the transitional elements and the chemical properties of the </w:t>
            </w:r>
            <w:r>
              <w:rPr>
                <w:sz w:val="20"/>
                <w:lang w:bidi="ar-IQ"/>
              </w:rPr>
              <w:t>transition</w:t>
            </w:r>
            <w:r w:rsidRPr="003A36A7">
              <w:rPr>
                <w:sz w:val="20"/>
                <w:lang w:bidi="ar-IQ"/>
              </w:rPr>
              <w:t xml:space="preserve"> elements</w:t>
            </w:r>
            <w:r>
              <w:rPr>
                <w:sz w:val="20"/>
                <w:lang w:bidi="ar-IQ"/>
              </w:rPr>
              <w:t>,</w:t>
            </w:r>
            <w:r w:rsidRPr="003A36A7">
              <w:rPr>
                <w:sz w:val="20"/>
                <w:lang w:bidi="ar-IQ"/>
              </w:rPr>
              <w:t xml:space="preserve"> as well as the various oxidation </w:t>
            </w:r>
            <w:r>
              <w:rPr>
                <w:sz w:val="20"/>
                <w:lang w:bidi="ar-IQ"/>
              </w:rPr>
              <w:t>causes</w:t>
            </w:r>
            <w:r w:rsidRPr="003A36A7">
              <w:rPr>
                <w:sz w:val="20"/>
                <w:lang w:bidi="ar-IQ"/>
              </w:rPr>
              <w:t xml:space="preserve"> them and the electronic arrangement of transitional elements, the geometric forms of complexes</w:t>
            </w:r>
            <w:r>
              <w:rPr>
                <w:sz w:val="20"/>
                <w:lang w:bidi="ar-IQ"/>
              </w:rPr>
              <w:t>,</w:t>
            </w:r>
            <w:r w:rsidRPr="003A36A7">
              <w:rPr>
                <w:sz w:val="20"/>
                <w:lang w:bidi="ar-IQ"/>
              </w:rPr>
              <w:t xml:space="preserve"> and the types of </w:t>
            </w:r>
            <w:r>
              <w:rPr>
                <w:sz w:val="20"/>
                <w:lang w:bidi="ar-IQ"/>
              </w:rPr>
              <w:t>ligands</w:t>
            </w:r>
            <w:r w:rsidRPr="003A36A7">
              <w:rPr>
                <w:sz w:val="20"/>
                <w:lang w:bidi="ar-IQ"/>
              </w:rPr>
              <w:t xml:space="preserve"> used in the preparation of complexes</w:t>
            </w:r>
          </w:p>
        </w:tc>
      </w:tr>
      <w:tr w:rsidR="009E2CB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9E2CB7" w:rsidRDefault="00432101" w:rsidP="004321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</w:t>
            </w:r>
            <w:r w:rsidR="009E2CB7" w:rsidRPr="003A36A7">
              <w:rPr>
                <w:sz w:val="20"/>
              </w:rPr>
              <w:t xml:space="preserve">he most important theories that have explained the composition of complexities and what theory is most acceptable include first: series theory </w:t>
            </w:r>
            <w:r w:rsidR="009E2CB7">
              <w:rPr>
                <w:sz w:val="20"/>
              </w:rPr>
              <w:t>and second</w:t>
            </w:r>
            <w:r w:rsidR="009E2CB7" w:rsidRPr="003A36A7">
              <w:rPr>
                <w:sz w:val="20"/>
              </w:rPr>
              <w:t xml:space="preserve">: Werner's </w:t>
            </w:r>
            <w:r w:rsidR="009E2CB7">
              <w:rPr>
                <w:sz w:val="20"/>
              </w:rPr>
              <w:t>theory.</w:t>
            </w:r>
          </w:p>
        </w:tc>
      </w:tr>
      <w:tr w:rsidR="009E2CB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9E2CB7" w:rsidRDefault="00432101" w:rsidP="004321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Complex writing method</w:t>
            </w:r>
            <w:r w:rsidR="009E2CB7" w:rsidRPr="003A36A7">
              <w:rPr>
                <w:sz w:val="20"/>
              </w:rPr>
              <w:t>, effective atomic number base, transitional element interactions, use, preparation</w:t>
            </w:r>
            <w:r w:rsidR="009E2CB7">
              <w:rPr>
                <w:sz w:val="20"/>
              </w:rPr>
              <w:t>,</w:t>
            </w:r>
            <w:r w:rsidR="009E2CB7" w:rsidRPr="003A36A7">
              <w:rPr>
                <w:sz w:val="20"/>
              </w:rPr>
              <w:t xml:space="preserve"> and </w:t>
            </w:r>
            <w:r w:rsidR="009E2CB7">
              <w:rPr>
                <w:sz w:val="20"/>
              </w:rPr>
              <w:t>presentation</w:t>
            </w:r>
          </w:p>
        </w:tc>
      </w:tr>
      <w:tr w:rsidR="009E2CB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9E2CB7" w:rsidRDefault="00BF1C83" w:rsidP="00933D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</w:t>
            </w:r>
            <w:r w:rsidR="00933D79">
              <w:t xml:space="preserve"> </w:t>
            </w:r>
            <w:r w:rsidR="00933D79" w:rsidRPr="00933D79">
              <w:rPr>
                <w:sz w:val="20"/>
              </w:rPr>
              <w:t xml:space="preserve">A- Introducing students to the basic concepts of persistent theories of </w:t>
            </w:r>
            <w:r w:rsidR="00933D79">
              <w:rPr>
                <w:sz w:val="20"/>
              </w:rPr>
              <w:t>coordination</w:t>
            </w:r>
            <w:r w:rsidR="00933D79" w:rsidRPr="00933D79">
              <w:rPr>
                <w:sz w:val="20"/>
              </w:rPr>
              <w:t xml:space="preserve"> compounds</w:t>
            </w:r>
          </w:p>
        </w:tc>
      </w:tr>
      <w:tr w:rsidR="009E2CB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9E2CB7" w:rsidRDefault="00933D79" w:rsidP="00933D79">
            <w:pPr>
              <w:pStyle w:val="TableParagraph"/>
              <w:rPr>
                <w:sz w:val="20"/>
              </w:rPr>
            </w:pPr>
            <w:r w:rsidRPr="00933D79">
              <w:rPr>
                <w:sz w:val="20"/>
              </w:rPr>
              <w:t>Give the student an accurate description of the</w:t>
            </w:r>
            <w:r>
              <w:rPr>
                <w:sz w:val="20"/>
              </w:rPr>
              <w:t xml:space="preserve"> bonding </w:t>
            </w:r>
            <w:r w:rsidRPr="00933D79">
              <w:rPr>
                <w:sz w:val="20"/>
              </w:rPr>
              <w:t xml:space="preserve">theories, the theory of valence persistence, magnetic measurements and the number of individual electrons of complexes of geometric shapes: </w:t>
            </w:r>
            <w:r>
              <w:rPr>
                <w:sz w:val="20"/>
              </w:rPr>
              <w:t>tetrahedral</w:t>
            </w:r>
            <w:r w:rsidRPr="00933D79">
              <w:rPr>
                <w:sz w:val="20"/>
              </w:rPr>
              <w:t>, octa</w:t>
            </w:r>
            <w:r>
              <w:rPr>
                <w:sz w:val="20"/>
              </w:rPr>
              <w:t>hedral</w:t>
            </w:r>
            <w:r w:rsidRPr="00933D79">
              <w:rPr>
                <w:sz w:val="20"/>
              </w:rPr>
              <w:t xml:space="preserve"> and square</w:t>
            </w:r>
            <w:r>
              <w:rPr>
                <w:sz w:val="20"/>
              </w:rPr>
              <w:t xml:space="preserve"> planar</w:t>
            </w:r>
            <w:r w:rsidRPr="00933D79">
              <w:rPr>
                <w:sz w:val="20"/>
              </w:rPr>
              <w:t>, i</w:t>
            </w:r>
            <w:r>
              <w:rPr>
                <w:sz w:val="20"/>
              </w:rPr>
              <w:t xml:space="preserve">nner </w:t>
            </w:r>
            <w:r w:rsidRPr="00933D79">
              <w:rPr>
                <w:sz w:val="20"/>
              </w:rPr>
              <w:t xml:space="preserve">orbital complexes and </w:t>
            </w:r>
            <w:r>
              <w:rPr>
                <w:sz w:val="20"/>
              </w:rPr>
              <w:t>outer</w:t>
            </w:r>
            <w:r w:rsidRPr="00933D79">
              <w:rPr>
                <w:sz w:val="20"/>
              </w:rPr>
              <w:t xml:space="preserve"> orbital complexes.</w:t>
            </w:r>
          </w:p>
        </w:tc>
      </w:tr>
      <w:tr w:rsidR="009E2CB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9E2CB7" w:rsidRDefault="006B4DA2" w:rsidP="006B4DA2">
            <w:pPr>
              <w:pStyle w:val="TableParagraph"/>
              <w:rPr>
                <w:sz w:val="20"/>
              </w:rPr>
            </w:pPr>
            <w:r w:rsidRPr="006B4DA2">
              <w:rPr>
                <w:sz w:val="20"/>
              </w:rPr>
              <w:t xml:space="preserve">Crystal field theory, measurement of the amount of </w:t>
            </w:r>
            <w:r>
              <w:rPr>
                <w:sz w:val="20"/>
              </w:rPr>
              <w:t>splitting</w:t>
            </w:r>
            <w:r w:rsidRPr="006B4DA2">
              <w:rPr>
                <w:sz w:val="20"/>
              </w:rPr>
              <w:t xml:space="preserve"> of the crystalline field in the case of a strong and weak field, knowledge of the energy of electronic</w:t>
            </w:r>
            <w:r>
              <w:rPr>
                <w:sz w:val="20"/>
              </w:rPr>
              <w:t xml:space="preserve"> </w:t>
            </w:r>
            <w:r w:rsidRPr="006B4DA2">
              <w:rPr>
                <w:sz w:val="20"/>
              </w:rPr>
              <w:t xml:space="preserve">(Jean-Teller's distortion) and interpretation of the </w:t>
            </w:r>
            <w:proofErr w:type="spellStart"/>
            <w:r w:rsidRPr="006B4DA2">
              <w:rPr>
                <w:sz w:val="20"/>
              </w:rPr>
              <w:t>colo</w:t>
            </w:r>
            <w:r>
              <w:rPr>
                <w:sz w:val="20"/>
              </w:rPr>
              <w:t>u</w:t>
            </w:r>
            <w:r w:rsidRPr="006B4DA2">
              <w:rPr>
                <w:sz w:val="20"/>
              </w:rPr>
              <w:t>rs</w:t>
            </w:r>
            <w:proofErr w:type="spellEnd"/>
            <w:r w:rsidRPr="006B4DA2">
              <w:rPr>
                <w:sz w:val="20"/>
              </w:rPr>
              <w:t xml:space="preserve"> of complexes</w:t>
            </w:r>
          </w:p>
        </w:tc>
      </w:tr>
      <w:tr w:rsidR="009E2CB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9E2CB7" w:rsidRDefault="006B4DA2" w:rsidP="006B4DA2">
            <w:pPr>
              <w:pStyle w:val="TableParagraph"/>
              <w:rPr>
                <w:sz w:val="20"/>
              </w:rPr>
            </w:pPr>
            <w:r w:rsidRPr="006B4DA2">
              <w:rPr>
                <w:sz w:val="20"/>
              </w:rPr>
              <w:t xml:space="preserve">- </w:t>
            </w:r>
            <w:r>
              <w:rPr>
                <w:sz w:val="20"/>
              </w:rPr>
              <w:t>MOT Theory sigma and pi bonding</w:t>
            </w:r>
          </w:p>
        </w:tc>
      </w:tr>
      <w:tr w:rsidR="009E2CB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9E2CB7" w:rsidRDefault="006B4DA2" w:rsidP="006B4DA2">
            <w:pPr>
              <w:pStyle w:val="TableParagraph"/>
              <w:rPr>
                <w:sz w:val="20"/>
              </w:rPr>
            </w:pPr>
            <w:r w:rsidRPr="006B4DA2">
              <w:rPr>
                <w:sz w:val="20"/>
              </w:rPr>
              <w:t xml:space="preserve">And </w:t>
            </w:r>
            <w:r>
              <w:rPr>
                <w:sz w:val="20"/>
              </w:rPr>
              <w:t>describe</w:t>
            </w:r>
            <w:r w:rsidRPr="006B4DA2">
              <w:rPr>
                <w:sz w:val="20"/>
              </w:rPr>
              <w:t xml:space="preserve"> thermodynamic stability, motor stability and factors affecting the stability of complexes</w:t>
            </w:r>
          </w:p>
        </w:tc>
      </w:tr>
    </w:tbl>
    <w:p w:rsidR="00AD31D6" w:rsidRDefault="00AD31D6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  <w:rtl/>
        </w:rPr>
      </w:pPr>
    </w:p>
    <w:p w:rsidR="009D01A1" w:rsidRDefault="009D01A1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654"/>
        </w:trPr>
        <w:tc>
          <w:tcPr>
            <w:tcW w:w="9722" w:type="dxa"/>
            <w:shd w:val="clear" w:color="auto" w:fill="A7BEDE"/>
          </w:tcPr>
          <w:p w:rsidR="00AD31D6" w:rsidRDefault="000E0F50" w:rsidP="009E2CB7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9· Learning Outcomes, Teaching,</w:t>
            </w:r>
            <w:r w:rsidR="009E2CB7">
              <w:rPr>
                <w:color w:val="221F1F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Learning and Assessment Methode</w:t>
            </w:r>
          </w:p>
        </w:tc>
      </w:tr>
      <w:tr w:rsidR="00AD31D6">
        <w:trPr>
          <w:trHeight w:val="2183"/>
        </w:trPr>
        <w:tc>
          <w:tcPr>
            <w:tcW w:w="9722" w:type="dxa"/>
            <w:shd w:val="clear" w:color="auto" w:fill="A7BEDE"/>
          </w:tcPr>
          <w:p w:rsidR="00AD31D6" w:rsidRDefault="000E0F50" w:rsidP="009E2CB7">
            <w:pPr>
              <w:pStyle w:val="TableParagraph"/>
              <w:spacing w:before="136" w:line="194" w:lineRule="auto"/>
              <w:ind w:left="424" w:right="7057" w:hanging="70"/>
              <w:rPr>
                <w:sz w:val="28"/>
              </w:rPr>
            </w:pPr>
            <w:r>
              <w:rPr>
                <w:color w:val="221F1F"/>
                <w:sz w:val="28"/>
              </w:rPr>
              <w:t>A- Cognitive goals. A1.</w:t>
            </w:r>
            <w:r w:rsidR="009E2CB7">
              <w:rPr>
                <w:sz w:val="28"/>
              </w:rPr>
              <w:t xml:space="preserve"> Introducing </w:t>
            </w:r>
            <w:r w:rsidR="009E2CB7" w:rsidRPr="003A36A7">
              <w:rPr>
                <w:sz w:val="28"/>
              </w:rPr>
              <w:t xml:space="preserve">students to basic concepts of </w:t>
            </w:r>
            <w:r w:rsidR="009E2CB7">
              <w:rPr>
                <w:sz w:val="28"/>
              </w:rPr>
              <w:t>transition</w:t>
            </w:r>
            <w:r w:rsidR="009E2CB7" w:rsidRPr="003A36A7">
              <w:rPr>
                <w:sz w:val="28"/>
              </w:rPr>
              <w:t xml:space="preserve"> elements</w:t>
            </w:r>
            <w:r w:rsidR="009E2CB7">
              <w:t xml:space="preserve"> </w:t>
            </w:r>
          </w:p>
          <w:p w:rsidR="00AD31D6" w:rsidRDefault="000E0F50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9E2CB7" w:rsidRPr="003874FC">
              <w:rPr>
                <w:sz w:val="28"/>
              </w:rPr>
              <w:t xml:space="preserve"> Enable students to learn a set of examples about the interpretation of complex </w:t>
            </w:r>
            <w:r w:rsidR="009E2CB7">
              <w:rPr>
                <w:sz w:val="28"/>
              </w:rPr>
              <w:t>colours</w:t>
            </w:r>
            <w:r w:rsidR="009E2CB7" w:rsidRPr="003874FC">
              <w:rPr>
                <w:sz w:val="28"/>
              </w:rPr>
              <w:t xml:space="preserve"> and magnetic properties</w:t>
            </w:r>
          </w:p>
          <w:p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A3.</w:t>
            </w:r>
            <w:r w:rsidR="009E2CB7" w:rsidRPr="003874FC">
              <w:rPr>
                <w:sz w:val="28"/>
              </w:rPr>
              <w:t xml:space="preserve"> and how complexes with geometric shapes are related: quadrant, eight surfaces and a flat square according to these theories</w:t>
            </w:r>
          </w:p>
          <w:p w:rsidR="00AD31D6" w:rsidRDefault="00AD31D6" w:rsidP="009E2CB7">
            <w:pPr>
              <w:pStyle w:val="TableParagraph"/>
              <w:spacing w:line="318" w:lineRule="exact"/>
              <w:rPr>
                <w:sz w:val="28"/>
              </w:rPr>
            </w:pPr>
          </w:p>
        </w:tc>
      </w:tr>
      <w:tr w:rsidR="00AD31D6">
        <w:trPr>
          <w:trHeight w:val="1410"/>
        </w:trPr>
        <w:tc>
          <w:tcPr>
            <w:tcW w:w="9722" w:type="dxa"/>
            <w:shd w:val="clear" w:color="auto" w:fill="A7BEDE"/>
          </w:tcPr>
          <w:p w:rsidR="009E2CB7" w:rsidRDefault="000E0F50" w:rsidP="009E2CB7">
            <w:pPr>
              <w:pStyle w:val="TableParagraph"/>
              <w:spacing w:before="143" w:line="194" w:lineRule="auto"/>
              <w:ind w:left="498" w:right="4329" w:hanging="5"/>
              <w:rPr>
                <w:sz w:val="28"/>
              </w:rPr>
            </w:pPr>
            <w:r>
              <w:rPr>
                <w:color w:val="221F1F"/>
                <w:sz w:val="28"/>
              </w:rPr>
              <w:t>B. The skills goals special to the course. B1.</w:t>
            </w:r>
            <w:r w:rsidR="009E2CB7" w:rsidRPr="003A36A7">
              <w:rPr>
                <w:color w:val="221F1F"/>
                <w:sz w:val="28"/>
              </w:rPr>
              <w:t xml:space="preserve"> Analysis and inference skills</w:t>
            </w:r>
          </w:p>
          <w:p w:rsidR="00AD31D6" w:rsidRDefault="009E2CB7" w:rsidP="009E2CB7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>
              <w:t xml:space="preserve"> </w:t>
            </w:r>
            <w:r w:rsidRPr="003874FC">
              <w:rPr>
                <w:sz w:val="28"/>
              </w:rPr>
              <w:t>Ask students a range of thinking questions during lectures</w:t>
            </w:r>
            <w:r>
              <w:rPr>
                <w:sz w:val="28"/>
              </w:rPr>
              <w:t>,</w:t>
            </w:r>
            <w:r w:rsidRPr="003874FC">
              <w:rPr>
                <w:sz w:val="28"/>
              </w:rPr>
              <w:t xml:space="preserve"> such as what, how, when and why specific topics give </w:t>
            </w:r>
            <w:r>
              <w:rPr>
                <w:sz w:val="28"/>
              </w:rPr>
              <w:t>students</w:t>
            </w:r>
            <w:r w:rsidRPr="003874FC">
              <w:rPr>
                <w:sz w:val="28"/>
              </w:rPr>
              <w:t xml:space="preserve"> duties that require subjective interpretations</w:t>
            </w:r>
          </w:p>
        </w:tc>
      </w:tr>
      <w:tr w:rsidR="00AD31D6">
        <w:trPr>
          <w:trHeight w:val="513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:rsidTr="009E2CB7">
        <w:trPr>
          <w:trHeight w:val="551"/>
        </w:trPr>
        <w:tc>
          <w:tcPr>
            <w:tcW w:w="9722" w:type="dxa"/>
            <w:shd w:val="clear" w:color="auto" w:fill="A7BEDE"/>
          </w:tcPr>
          <w:p w:rsidR="00AD31D6" w:rsidRPr="009E2CB7" w:rsidRDefault="009E2CB7" w:rsidP="009E2CB7">
            <w:pPr>
              <w:pStyle w:val="TableParagraph"/>
              <w:rPr>
                <w:sz w:val="28"/>
              </w:rPr>
            </w:pPr>
            <w:r w:rsidRPr="003874FC">
              <w:rPr>
                <w:sz w:val="28"/>
              </w:rPr>
              <w:t>Forming discussion groups during lectures to discuss</w:t>
            </w:r>
          </w:p>
        </w:tc>
      </w:tr>
      <w:tr w:rsidR="00AD31D6">
        <w:trPr>
          <w:trHeight w:val="476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Default="009E2CB7" w:rsidP="009E2CB7">
            <w:pPr>
              <w:pStyle w:val="TableParagraph"/>
              <w:rPr>
                <w:sz w:val="28"/>
              </w:rPr>
            </w:pPr>
            <w:r w:rsidRPr="001330FD">
              <w:rPr>
                <w:sz w:val="28"/>
              </w:rPr>
              <w:t xml:space="preserve">Weekly exams, monthly exams, specific grades, duties and </w:t>
            </w:r>
            <w:r>
              <w:rPr>
                <w:sz w:val="28"/>
              </w:rPr>
              <w:t>activities.</w:t>
            </w:r>
          </w:p>
        </w:tc>
      </w:tr>
      <w:tr w:rsidR="00AD31D6">
        <w:trPr>
          <w:trHeight w:val="1369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line="194" w:lineRule="auto"/>
              <w:ind w:left="719" w:right="5590" w:hanging="180"/>
              <w:rPr>
                <w:sz w:val="28"/>
              </w:rPr>
            </w:pPr>
            <w:r>
              <w:rPr>
                <w:color w:val="221F1F"/>
                <w:sz w:val="28"/>
              </w:rPr>
              <w:t>C. Affective and value goals C1.</w:t>
            </w:r>
          </w:p>
          <w:p w:rsidR="00AD31D6" w:rsidRDefault="000E0F50">
            <w:pPr>
              <w:pStyle w:val="TableParagraph"/>
              <w:spacing w:line="246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C2.</w:t>
            </w:r>
          </w:p>
          <w:p w:rsidR="00AD31D6" w:rsidRDefault="000E0F50">
            <w:pPr>
              <w:pStyle w:val="TableParagraph"/>
              <w:spacing w:line="288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C3.</w:t>
            </w:r>
          </w:p>
          <w:p w:rsidR="00AD31D6" w:rsidRDefault="000E0F50">
            <w:pPr>
              <w:pStyle w:val="TableParagraph"/>
              <w:spacing w:line="302" w:lineRule="exact"/>
              <w:ind w:left="722"/>
              <w:rPr>
                <w:sz w:val="28"/>
              </w:rPr>
            </w:pPr>
            <w:r>
              <w:rPr>
                <w:color w:val="221F1F"/>
                <w:sz w:val="28"/>
              </w:rPr>
              <w:t>C4.</w:t>
            </w:r>
          </w:p>
        </w:tc>
      </w:tr>
      <w:tr w:rsidR="00AD31D6">
        <w:trPr>
          <w:trHeight w:val="47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>
        <w:trPr>
          <w:trHeight w:val="42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611"/>
        </w:trPr>
        <w:tc>
          <w:tcPr>
            <w:tcW w:w="9722" w:type="dxa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</w:tbl>
    <w:p w:rsidR="009D01A1" w:rsidRDefault="009D01A1">
      <w:pPr>
        <w:rPr>
          <w:sz w:val="28"/>
        </w:rPr>
      </w:pPr>
    </w:p>
    <w:p w:rsidR="00AD31D6" w:rsidRPr="009D01A1" w:rsidRDefault="009D01A1" w:rsidP="009D01A1">
      <w:pPr>
        <w:tabs>
          <w:tab w:val="left" w:pos="780"/>
        </w:tabs>
        <w:rPr>
          <w:sz w:val="28"/>
        </w:rPr>
        <w:sectPr w:rsidR="00AD31D6" w:rsidRPr="009D01A1">
          <w:pgSz w:w="11910" w:h="16840"/>
          <w:pgMar w:top="980" w:right="860" w:bottom="280" w:left="780" w:header="720" w:footer="720" w:gutter="0"/>
          <w:cols w:space="720"/>
        </w:sectPr>
      </w:pPr>
      <w:r>
        <w:rPr>
          <w:sz w:val="28"/>
        </w:rPr>
        <w:tab/>
      </w: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638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:rsidR="00AD31D6" w:rsidRDefault="000E0F50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</w:p>
          <w:p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</w:p>
          <w:p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</w:p>
          <w:p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080"/>
        <w:gridCol w:w="1080"/>
        <w:gridCol w:w="1158"/>
        <w:gridCol w:w="2264"/>
        <w:gridCol w:w="1801"/>
        <w:gridCol w:w="2341"/>
      </w:tblGrid>
      <w:tr w:rsidR="00AD31D6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:rsidTr="00C40A12">
        <w:trPr>
          <w:trHeight w:val="907"/>
        </w:trPr>
        <w:tc>
          <w:tcPr>
            <w:tcW w:w="1080" w:type="dxa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158" w:type="dxa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264" w:type="dxa"/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9E2CB7" w:rsidTr="00C40A12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9E2CB7" w:rsidRPr="00C40A12" w:rsidRDefault="009E2CB7" w:rsidP="00560381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 xml:space="preserve">First </w:t>
            </w:r>
          </w:p>
          <w:p w:rsidR="009E2CB7" w:rsidRPr="00C40A12" w:rsidRDefault="009E2CB7" w:rsidP="00560381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9E2CB7" w:rsidRPr="00C40A12" w:rsidRDefault="009E2CB7" w:rsidP="00560381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9E2CB7" w:rsidRPr="00C40A12" w:rsidRDefault="009E2CB7" w:rsidP="00560381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inorganic</w:t>
            </w: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9E2CB7" w:rsidRPr="00C40A12" w:rsidRDefault="009E2CB7" w:rsidP="009E2CB7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A detailed explanation of the course material for the first semester and then an introduction to coordination chemistry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9E2CB7" w:rsidRDefault="009E2CB7" w:rsidP="00BD5696">
            <w:pPr>
              <w:pStyle w:val="TableParagraph"/>
              <w:rPr>
                <w:sz w:val="28"/>
              </w:rPr>
            </w:pPr>
            <w:r>
              <w:rPr>
                <w:color w:val="221F1F"/>
                <w:sz w:val="28"/>
              </w:rPr>
              <w:t>Attendance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9E2CB7" w:rsidRDefault="009E2CB7" w:rsidP="00560381">
            <w:pPr>
              <w:pStyle w:val="TableParagraph"/>
              <w:rPr>
                <w:sz w:val="28"/>
              </w:rPr>
            </w:pPr>
            <w:r w:rsidRPr="001330FD">
              <w:rPr>
                <w:sz w:val="28"/>
              </w:rPr>
              <w:t xml:space="preserve">monthly exams and </w:t>
            </w:r>
            <w:r>
              <w:rPr>
                <w:sz w:val="28"/>
              </w:rPr>
              <w:t xml:space="preserve">quizzes </w:t>
            </w:r>
          </w:p>
        </w:tc>
      </w:tr>
      <w:tr w:rsidR="00AD31D6" w:rsidTr="00C40A12">
        <w:trPr>
          <w:trHeight w:val="337"/>
        </w:trPr>
        <w:tc>
          <w:tcPr>
            <w:tcW w:w="1080" w:type="dxa"/>
            <w:shd w:val="clear" w:color="auto" w:fill="D2DFED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D2DFED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7BEDE"/>
          </w:tcPr>
          <w:p w:rsidR="00AD31D6" w:rsidRPr="00C40A12" w:rsidRDefault="009E2CB7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Transition elements and chemical properties of transition elements as well as their various oxidation states</w:t>
            </w:r>
          </w:p>
        </w:tc>
        <w:tc>
          <w:tcPr>
            <w:tcW w:w="1801" w:type="dxa"/>
            <w:shd w:val="clear" w:color="auto" w:fill="D2DFED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Know the electronic arrangement of the transitional elements and the most important compounds of the transitional elements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:rsidTr="00C40A12">
        <w:trPr>
          <w:trHeight w:val="330"/>
        </w:trPr>
        <w:tc>
          <w:tcPr>
            <w:tcW w:w="1080" w:type="dxa"/>
            <w:shd w:val="clear" w:color="auto" w:fill="D2DFED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7BEDE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2DFED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Definition of the concept of harmonic compounds with examples</w:t>
            </w:r>
          </w:p>
        </w:tc>
        <w:tc>
          <w:tcPr>
            <w:tcW w:w="1801" w:type="dxa"/>
            <w:shd w:val="clear" w:color="auto" w:fill="D2DFED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:rsidTr="00C40A12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exam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6"/>
              </w:rPr>
            </w:pPr>
          </w:p>
        </w:tc>
      </w:tr>
      <w:tr w:rsidR="00AD31D6" w:rsidTr="00C40A12">
        <w:trPr>
          <w:trHeight w:val="323"/>
        </w:trPr>
        <w:tc>
          <w:tcPr>
            <w:tcW w:w="1080" w:type="dxa"/>
            <w:shd w:val="clear" w:color="auto" w:fill="D2DFED"/>
          </w:tcPr>
          <w:p w:rsidR="00AD31D6" w:rsidRPr="00C40A12" w:rsidRDefault="00BD5696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2DFED"/>
          </w:tcPr>
          <w:p w:rsidR="00AD31D6" w:rsidRPr="00C40A12" w:rsidRDefault="00AD31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7BEDE"/>
          </w:tcPr>
          <w:p w:rsidR="00AD31D6" w:rsidRPr="00C40A12" w:rsidRDefault="00C40A12" w:rsidP="00C40A12">
            <w:pPr>
              <w:pStyle w:val="TableParagraph"/>
              <w:rPr>
                <w:sz w:val="24"/>
                <w:szCs w:val="24"/>
              </w:rPr>
            </w:pPr>
            <w:r w:rsidRPr="00C40A12">
              <w:rPr>
                <w:sz w:val="24"/>
                <w:szCs w:val="24"/>
              </w:rPr>
              <w:t>Know the types of li</w:t>
            </w:r>
            <w:r>
              <w:rPr>
                <w:sz w:val="24"/>
                <w:szCs w:val="24"/>
              </w:rPr>
              <w:t>g</w:t>
            </w:r>
            <w:r w:rsidRPr="00C40A12">
              <w:rPr>
                <w:sz w:val="24"/>
                <w:szCs w:val="24"/>
              </w:rPr>
              <w:t xml:space="preserve">ands used </w:t>
            </w:r>
            <w:r>
              <w:rPr>
                <w:sz w:val="24"/>
                <w:szCs w:val="24"/>
              </w:rPr>
              <w:t>to prepare</w:t>
            </w:r>
            <w:r w:rsidRPr="00C40A12">
              <w:rPr>
                <w:sz w:val="24"/>
                <w:szCs w:val="24"/>
              </w:rPr>
              <w:t xml:space="preserve"> complexes.</w:t>
            </w:r>
          </w:p>
        </w:tc>
        <w:tc>
          <w:tcPr>
            <w:tcW w:w="1801" w:type="dxa"/>
            <w:shd w:val="clear" w:color="auto" w:fill="D2DFED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AD31D6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BD56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10767E">
            <w:pPr>
              <w:pStyle w:val="TableParagraph"/>
              <w:rPr>
                <w:sz w:val="24"/>
              </w:rPr>
            </w:pPr>
            <w:r w:rsidRPr="0010767E">
              <w:rPr>
                <w:sz w:val="24"/>
              </w:rPr>
              <w:t>the rule of effective atomic number with examples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431477">
            <w:pPr>
              <w:pStyle w:val="TableParagraph"/>
              <w:rPr>
                <w:sz w:val="24"/>
              </w:rPr>
            </w:pPr>
            <w:r w:rsidRPr="00431477">
              <w:rPr>
                <w:sz w:val="24"/>
              </w:rPr>
              <w:t>Interactions of transitional elements + activities about the course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431477">
            <w:pPr>
              <w:pStyle w:val="TableParagraph"/>
              <w:rPr>
                <w:sz w:val="24"/>
              </w:rPr>
            </w:pPr>
            <w:r w:rsidRPr="00431477">
              <w:rPr>
                <w:sz w:val="24"/>
              </w:rPr>
              <w:t>And the geometric shapes of the harmonic compounds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</w:p>
          <w:p w:rsidR="00431477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431477" w:rsidP="00431477">
            <w:pPr>
              <w:pStyle w:val="TableParagraph"/>
              <w:rPr>
                <w:sz w:val="24"/>
              </w:rPr>
            </w:pPr>
            <w:r w:rsidRPr="00431477">
              <w:rPr>
                <w:sz w:val="24"/>
              </w:rPr>
              <w:t xml:space="preserve">Introduce students to the basic concepts of theories </w:t>
            </w:r>
            <w:r>
              <w:rPr>
                <w:sz w:val="24"/>
              </w:rPr>
              <w:t xml:space="preserve">for coordination </w:t>
            </w:r>
            <w:r w:rsidRPr="00431477">
              <w:rPr>
                <w:sz w:val="24"/>
              </w:rPr>
              <w:t xml:space="preserve"> </w:t>
            </w:r>
            <w:r w:rsidRPr="00431477">
              <w:rPr>
                <w:sz w:val="24"/>
              </w:rPr>
              <w:lastRenderedPageBreak/>
              <w:t>compounds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431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431477" w:rsidP="00431477">
            <w:pPr>
              <w:pStyle w:val="TableParagraph"/>
              <w:rPr>
                <w:sz w:val="24"/>
              </w:rPr>
            </w:pPr>
            <w:r w:rsidRPr="00431477">
              <w:rPr>
                <w:sz w:val="24"/>
              </w:rPr>
              <w:t>Give the student an accurate description of the</w:t>
            </w:r>
            <w:r>
              <w:rPr>
                <w:sz w:val="24"/>
              </w:rPr>
              <w:t xml:space="preserve"> VBT</w:t>
            </w:r>
            <w:r w:rsidRPr="00431477">
              <w:rPr>
                <w:sz w:val="24"/>
              </w:rPr>
              <w:t xml:space="preserve"> theory with the examples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5512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55121A" w:rsidP="0055121A">
            <w:pPr>
              <w:pStyle w:val="TableParagraph"/>
              <w:rPr>
                <w:sz w:val="24"/>
              </w:rPr>
            </w:pPr>
            <w:r w:rsidRPr="0055121A">
              <w:rPr>
                <w:sz w:val="24"/>
              </w:rPr>
              <w:t xml:space="preserve">Complementing the Theory of </w:t>
            </w:r>
            <w:r>
              <w:rPr>
                <w:sz w:val="24"/>
              </w:rPr>
              <w:t>VBT and the Concept of inner</w:t>
            </w:r>
            <w:r w:rsidRPr="0055121A">
              <w:rPr>
                <w:sz w:val="24"/>
              </w:rPr>
              <w:t xml:space="preserve"> Orbital Complexes and </w:t>
            </w:r>
            <w:r>
              <w:rPr>
                <w:sz w:val="24"/>
              </w:rPr>
              <w:t>outer</w:t>
            </w:r>
            <w:r w:rsidRPr="0055121A">
              <w:rPr>
                <w:sz w:val="24"/>
              </w:rPr>
              <w:t xml:space="preserve"> Orbital Complexes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535A9E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535A9E" w:rsidRDefault="006731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Pr="0010767E" w:rsidRDefault="00673104" w:rsidP="00673104">
            <w:pPr>
              <w:pStyle w:val="TableParagraph"/>
              <w:rPr>
                <w:sz w:val="24"/>
              </w:rPr>
            </w:pPr>
            <w:r w:rsidRPr="00673104">
              <w:rPr>
                <w:sz w:val="24"/>
              </w:rPr>
              <w:t xml:space="preserve">Magnetic properties of complexes with geometric shapes: </w:t>
            </w:r>
            <w:r>
              <w:rPr>
                <w:sz w:val="24"/>
              </w:rPr>
              <w:t>tetrahedral</w:t>
            </w:r>
            <w:r w:rsidRPr="00673104">
              <w:rPr>
                <w:sz w:val="24"/>
              </w:rPr>
              <w:t>, octa</w:t>
            </w:r>
            <w:r>
              <w:rPr>
                <w:sz w:val="24"/>
              </w:rPr>
              <w:t xml:space="preserve">hedral </w:t>
            </w:r>
            <w:r w:rsidRPr="00673104">
              <w:rPr>
                <w:sz w:val="24"/>
              </w:rPr>
              <w:t>and square plan</w:t>
            </w:r>
            <w:r>
              <w:rPr>
                <w:sz w:val="24"/>
              </w:rPr>
              <w:t>ar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535A9E" w:rsidRDefault="00535A9E">
            <w:pPr>
              <w:pStyle w:val="TableParagraph"/>
              <w:rPr>
                <w:sz w:val="24"/>
              </w:rPr>
            </w:pPr>
          </w:p>
        </w:tc>
      </w:tr>
      <w:tr w:rsidR="00673104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Pr="00673104" w:rsidRDefault="00B975A0" w:rsidP="00B975A0">
            <w:pPr>
              <w:pStyle w:val="TableParagraph"/>
              <w:rPr>
                <w:sz w:val="24"/>
              </w:rPr>
            </w:pPr>
            <w:r w:rsidRPr="00B975A0">
              <w:rPr>
                <w:sz w:val="24"/>
              </w:rPr>
              <w:t xml:space="preserve">Crystal field theory and measurement of the amount of energy of </w:t>
            </w:r>
            <w:r>
              <w:rPr>
                <w:sz w:val="24"/>
              </w:rPr>
              <w:t>splitting</w:t>
            </w:r>
            <w:r w:rsidRPr="00B975A0">
              <w:rPr>
                <w:sz w:val="24"/>
              </w:rPr>
              <w:t xml:space="preserve"> of the crystalline field in the case of a strong and weak field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</w:tr>
      <w:tr w:rsidR="00673104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P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</w:tr>
      <w:tr w:rsidR="00673104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Pr="00673104" w:rsidRDefault="00B6302B">
            <w:pPr>
              <w:pStyle w:val="TableParagraph"/>
              <w:rPr>
                <w:sz w:val="24"/>
              </w:rPr>
            </w:pPr>
            <w:r w:rsidRPr="00B6302B">
              <w:rPr>
                <w:sz w:val="24"/>
              </w:rPr>
              <w:t xml:space="preserve">Interpretation of the </w:t>
            </w:r>
            <w:proofErr w:type="spellStart"/>
            <w:r w:rsidRPr="00B6302B">
              <w:rPr>
                <w:sz w:val="24"/>
              </w:rPr>
              <w:t>colo</w:t>
            </w:r>
            <w:r w:rsidR="007675A3">
              <w:rPr>
                <w:sz w:val="24"/>
              </w:rPr>
              <w:t>u</w:t>
            </w:r>
            <w:r w:rsidRPr="00B6302B">
              <w:rPr>
                <w:sz w:val="24"/>
              </w:rPr>
              <w:t>rs</w:t>
            </w:r>
            <w:proofErr w:type="spellEnd"/>
            <w:r w:rsidRPr="00B6302B">
              <w:rPr>
                <w:sz w:val="24"/>
              </w:rPr>
              <w:t xml:space="preserve"> of complexes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</w:tr>
      <w:tr w:rsidR="00673104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Pr="00673104" w:rsidRDefault="007675A3" w:rsidP="007675A3">
            <w:pPr>
              <w:pStyle w:val="TableParagraph"/>
              <w:rPr>
                <w:sz w:val="24"/>
              </w:rPr>
            </w:pPr>
            <w:r w:rsidRPr="007675A3">
              <w:rPr>
                <w:sz w:val="24"/>
              </w:rPr>
              <w:t xml:space="preserve">The energy of </w:t>
            </w:r>
            <w:r>
              <w:rPr>
                <w:sz w:val="24"/>
              </w:rPr>
              <w:t>splitting</w:t>
            </w:r>
            <w:r w:rsidRPr="007675A3">
              <w:rPr>
                <w:sz w:val="24"/>
              </w:rPr>
              <w:t xml:space="preserve"> and deformation in octahedral complexes (</w:t>
            </w:r>
            <w:proofErr w:type="spellStart"/>
            <w:r>
              <w:rPr>
                <w:sz w:val="24"/>
              </w:rPr>
              <w:t>Jhan</w:t>
            </w:r>
            <w:proofErr w:type="spellEnd"/>
            <w:r>
              <w:rPr>
                <w:sz w:val="24"/>
              </w:rPr>
              <w:t xml:space="preserve"> Teller</w:t>
            </w:r>
            <w:r w:rsidRPr="007675A3">
              <w:rPr>
                <w:sz w:val="24"/>
              </w:rPr>
              <w:t>) Scientific activities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</w:tr>
      <w:tr w:rsidR="00673104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Pr="00673104" w:rsidRDefault="007675A3" w:rsidP="007675A3">
            <w:pPr>
              <w:pStyle w:val="TableParagraph"/>
              <w:rPr>
                <w:sz w:val="24"/>
              </w:rPr>
            </w:pPr>
            <w:r w:rsidRPr="007675A3">
              <w:rPr>
                <w:sz w:val="24"/>
              </w:rPr>
              <w:t xml:space="preserve">Orbital molecular </w:t>
            </w:r>
            <w:r>
              <w:rPr>
                <w:sz w:val="24"/>
              </w:rPr>
              <w:t>bonding</w:t>
            </w:r>
            <w:r w:rsidRPr="007675A3">
              <w:rPr>
                <w:sz w:val="24"/>
              </w:rPr>
              <w:t xml:space="preserve"> σ in octa</w:t>
            </w:r>
            <w:r>
              <w:rPr>
                <w:sz w:val="24"/>
              </w:rPr>
              <w:t>hedral</w:t>
            </w:r>
            <w:r w:rsidRPr="007675A3">
              <w:rPr>
                <w:sz w:val="24"/>
              </w:rPr>
              <w:t xml:space="preserve"> complexes and molecular orbital diagram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673104" w:rsidRDefault="00673104">
            <w:pPr>
              <w:pStyle w:val="TableParagraph"/>
              <w:rPr>
                <w:sz w:val="24"/>
              </w:rPr>
            </w:pPr>
          </w:p>
        </w:tc>
      </w:tr>
      <w:tr w:rsidR="00B975A0" w:rsidTr="00C40A1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B975A0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975A0" w:rsidRDefault="00B975A0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975A0" w:rsidRDefault="00B975A0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975A0" w:rsidRPr="00673104" w:rsidRDefault="00B97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975A0" w:rsidRDefault="00B975A0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B975A0" w:rsidRDefault="00B975A0">
            <w:pPr>
              <w:pStyle w:val="TableParagraph"/>
              <w:rPr>
                <w:sz w:val="24"/>
              </w:rPr>
            </w:pP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-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35"/>
        <w:gridCol w:w="293"/>
        <w:gridCol w:w="4030"/>
        <w:gridCol w:w="5264"/>
        <w:gridCol w:w="428"/>
      </w:tblGrid>
      <w:tr w:rsidR="00AD31D6" w:rsidTr="009D01A1">
        <w:trPr>
          <w:gridBefore w:val="1"/>
          <w:wBefore w:w="135" w:type="dxa"/>
          <w:trHeight w:val="479"/>
        </w:trPr>
        <w:tc>
          <w:tcPr>
            <w:tcW w:w="10015" w:type="dxa"/>
            <w:gridSpan w:val="4"/>
            <w:shd w:val="clear" w:color="auto" w:fill="A7BEDE"/>
          </w:tcPr>
          <w:p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:rsidTr="009D01A1">
        <w:trPr>
          <w:gridBefore w:val="1"/>
          <w:wBefore w:w="135" w:type="dxa"/>
          <w:trHeight w:val="1343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gridSpan w:val="2"/>
            <w:tcBorders>
              <w:left w:val="single" w:sz="6" w:space="0" w:color="4F81BC"/>
            </w:tcBorders>
            <w:shd w:val="clear" w:color="auto" w:fill="A7BEDE"/>
          </w:tcPr>
          <w:p w:rsidR="00B87313" w:rsidRPr="0096785C" w:rsidRDefault="00B87313" w:rsidP="00B87313">
            <w:pPr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96785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Introduction to coordination chemistry, Geoffrey </w:t>
            </w:r>
            <w:proofErr w:type="spellStart"/>
            <w:r w:rsidRPr="0096785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A.Lawrance</w:t>
            </w:r>
            <w:proofErr w:type="spellEnd"/>
            <w:r w:rsidRPr="0096785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, WILEY, Australia,2010</w:t>
            </w:r>
          </w:p>
          <w:p w:rsidR="00AD31D6" w:rsidRDefault="00B87313" w:rsidP="00B87313">
            <w:pPr>
              <w:pStyle w:val="TableParagraph"/>
              <w:rPr>
                <w:sz w:val="28"/>
              </w:rPr>
            </w:pPr>
            <w:r w:rsidRPr="0096785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Inorganic chemistry,</w:t>
            </w:r>
            <w:r w:rsidRPr="0096785C">
              <w:rPr>
                <w:rFonts w:asciiTheme="majorBidi" w:hAnsiTheme="majorBidi" w:cstheme="majorBidi"/>
                <w:sz w:val="24"/>
                <w:szCs w:val="24"/>
              </w:rPr>
              <w:t xml:space="preserve"> Gary L. </w:t>
            </w:r>
            <w:proofErr w:type="spellStart"/>
            <w:r w:rsidRPr="0096785C">
              <w:rPr>
                <w:rFonts w:asciiTheme="majorBidi" w:hAnsiTheme="majorBidi" w:cstheme="majorBidi"/>
                <w:sz w:val="24"/>
                <w:szCs w:val="24"/>
              </w:rPr>
              <w:t>Miessler</w:t>
            </w:r>
            <w:proofErr w:type="spellEnd"/>
            <w:r w:rsidRPr="0096785C">
              <w:rPr>
                <w:rFonts w:asciiTheme="majorBidi" w:hAnsiTheme="majorBidi" w:cstheme="majorBidi"/>
                <w:sz w:val="24"/>
                <w:szCs w:val="24"/>
              </w:rPr>
              <w:t xml:space="preserve">, Paul J. Fischer, Donald A. </w:t>
            </w:r>
            <w:proofErr w:type="spellStart"/>
            <w:r w:rsidRPr="0096785C">
              <w:rPr>
                <w:rFonts w:asciiTheme="majorBidi" w:hAnsiTheme="majorBidi" w:cstheme="majorBidi"/>
                <w:sz w:val="24"/>
                <w:szCs w:val="24"/>
              </w:rPr>
              <w:t>Tarr</w:t>
            </w:r>
            <w:proofErr w:type="spellEnd"/>
            <w:r w:rsidRPr="0096785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,</w:t>
            </w:r>
            <w:r w:rsidRPr="0096785C">
              <w:rPr>
                <w:rFonts w:asciiTheme="majorBidi" w:hAnsiTheme="majorBidi" w:cstheme="majorBidi"/>
                <w:sz w:val="24"/>
                <w:szCs w:val="24"/>
              </w:rPr>
              <w:t xml:space="preserve"> Fifth edition,2014</w:t>
            </w:r>
          </w:p>
        </w:tc>
      </w:tr>
      <w:tr w:rsidR="00AD31D6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:rsidTr="009D01A1">
        <w:trPr>
          <w:gridBefore w:val="2"/>
          <w:wBefore w:w="428" w:type="dxa"/>
          <w:trHeight w:val="416"/>
        </w:trPr>
        <w:tc>
          <w:tcPr>
            <w:tcW w:w="9722" w:type="dxa"/>
            <w:gridSpan w:val="3"/>
            <w:shd w:val="clear" w:color="auto" w:fill="A7BEDE"/>
          </w:tcPr>
          <w:p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:rsidTr="009D01A1">
        <w:trPr>
          <w:gridBefore w:val="2"/>
          <w:wBefore w:w="428" w:type="dxa"/>
          <w:trHeight w:val="474"/>
        </w:trPr>
        <w:tc>
          <w:tcPr>
            <w:tcW w:w="9722" w:type="dxa"/>
            <w:gridSpan w:val="3"/>
            <w:shd w:val="clear" w:color="auto" w:fill="A7BEDE"/>
          </w:tcPr>
          <w:p w:rsidR="00A43123" w:rsidRDefault="00A43123">
            <w:pPr>
              <w:pStyle w:val="TableParagraph"/>
              <w:rPr>
                <w:sz w:val="28"/>
              </w:rPr>
            </w:pPr>
            <w:r w:rsidRPr="00A43123">
              <w:rPr>
                <w:sz w:val="28"/>
              </w:rPr>
              <w:t>Follow-up scientific development by identifying new books and research through the Internet</w:t>
            </w:r>
          </w:p>
          <w:p w:rsidR="00A43123" w:rsidRDefault="00A43123">
            <w:pPr>
              <w:pStyle w:val="TableParagraph"/>
              <w:rPr>
                <w:sz w:val="28"/>
              </w:rPr>
            </w:pPr>
            <w:r w:rsidRPr="00A43123">
              <w:rPr>
                <w:sz w:val="28"/>
              </w:rPr>
              <w:t xml:space="preserve"> - Participation in scientific conferences inside and outside the country</w:t>
            </w:r>
          </w:p>
          <w:p w:rsidR="00AD31D6" w:rsidRDefault="00A43123">
            <w:pPr>
              <w:pStyle w:val="TableParagraph"/>
              <w:rPr>
                <w:sz w:val="28"/>
              </w:rPr>
            </w:pPr>
            <w:r w:rsidRPr="00A43123">
              <w:rPr>
                <w:sz w:val="28"/>
              </w:rPr>
              <w:t xml:space="preserve"> - Participation in scientific workshops and seminars inside and outside the country</w:t>
            </w:r>
          </w:p>
        </w:tc>
      </w:tr>
      <w:tr w:rsidR="009D01A1" w:rsidTr="009D0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28" w:type="dxa"/>
          <w:trHeight w:val="1031"/>
        </w:trPr>
        <w:tc>
          <w:tcPr>
            <w:tcW w:w="9722" w:type="dxa"/>
            <w:gridSpan w:val="4"/>
          </w:tcPr>
          <w:p w:rsidR="009D01A1" w:rsidRDefault="009D01A1" w:rsidP="00D479D8">
            <w:pPr>
              <w:pStyle w:val="TableParagraph"/>
              <w:rPr>
                <w:sz w:val="2"/>
              </w:rPr>
            </w:pPr>
          </w:p>
        </w:tc>
      </w:tr>
    </w:tbl>
    <w:p w:rsidR="000E0F50" w:rsidRDefault="000E0F50" w:rsidP="009D01A1">
      <w:bookmarkStart w:id="0" w:name="_GoBack"/>
      <w:bookmarkEnd w:id="0"/>
    </w:p>
    <w:sectPr w:rsidR="000E0F50" w:rsidSect="000D13E1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cery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ayNDc2tjA0MrUwNLewsDBT0lEKTi0uzszPAykwrgUAY+7qlSwAAAA="/>
  </w:docVars>
  <w:rsids>
    <w:rsidRoot w:val="00AD31D6"/>
    <w:rsid w:val="000D13E1"/>
    <w:rsid w:val="000D256C"/>
    <w:rsid w:val="000E0F50"/>
    <w:rsid w:val="0010767E"/>
    <w:rsid w:val="003F18A1"/>
    <w:rsid w:val="00431477"/>
    <w:rsid w:val="00432101"/>
    <w:rsid w:val="004B39A9"/>
    <w:rsid w:val="00535A9E"/>
    <w:rsid w:val="0055121A"/>
    <w:rsid w:val="005647CB"/>
    <w:rsid w:val="00673104"/>
    <w:rsid w:val="006B4DA2"/>
    <w:rsid w:val="006B5F12"/>
    <w:rsid w:val="007675A3"/>
    <w:rsid w:val="00933D79"/>
    <w:rsid w:val="009D01A1"/>
    <w:rsid w:val="009E2CB7"/>
    <w:rsid w:val="00A43123"/>
    <w:rsid w:val="00AD31D6"/>
    <w:rsid w:val="00B6302B"/>
    <w:rsid w:val="00B87313"/>
    <w:rsid w:val="00B975A0"/>
    <w:rsid w:val="00BD5696"/>
    <w:rsid w:val="00BF1C83"/>
    <w:rsid w:val="00C27F44"/>
    <w:rsid w:val="00C40A12"/>
    <w:rsid w:val="00D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3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13E1"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D13E1"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rsid w:val="000D13E1"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  <w:rsid w:val="000D13E1"/>
  </w:style>
  <w:style w:type="paragraph" w:customStyle="1" w:styleId="TableParagraph">
    <w:name w:val="Table Paragraph"/>
    <w:basedOn w:val="Normal"/>
    <w:uiPriority w:val="1"/>
    <w:qFormat/>
    <w:rsid w:val="000D13E1"/>
  </w:style>
  <w:style w:type="paragraph" w:styleId="Header">
    <w:name w:val="header"/>
    <w:basedOn w:val="Normal"/>
    <w:link w:val="HeaderChar"/>
    <w:uiPriority w:val="99"/>
    <w:rsid w:val="00B87313"/>
    <w:pPr>
      <w:widowControl/>
      <w:tabs>
        <w:tab w:val="center" w:pos="4153"/>
        <w:tab w:val="right" w:pos="8306"/>
      </w:tabs>
      <w:autoSpaceDE/>
      <w:autoSpaceDN/>
      <w:bidi/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7313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61AEDE-6588-44CD-985A-FD8F546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venous</cp:lastModifiedBy>
  <cp:revision>22</cp:revision>
  <dcterms:created xsi:type="dcterms:W3CDTF">2022-05-18T09:02:00Z</dcterms:created>
  <dcterms:modified xsi:type="dcterms:W3CDTF">2022-10-09T19:10:00Z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